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CONVITE ELETRÔNICO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Convite Eletrônico foi atualizado pelo Decreto 61.363, de 8 de julho de 2015, e destinado aos órgãos e entidades integrantes da Administração Direta e Indireta do Estado de São Paulo.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modalidade de licitação 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aplica à compra de bens em parcela única e entrega imediata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do tipo menor preço, mediante a apresentação de propostas, que deverão ser julgadas pelo responsável pelo convite, registradas na Ata de Análise e, após as fases recursais, poderá ser homologado o procedimento pela Autoridade Competente.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Fonte: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u w:val="single"/>
            <w:rtl w:val="0"/>
          </w:rPr>
          <w:t xml:space="preserve">Manual Convite Eletrônico - Atualizado em 11/8/2015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ORIENTAÇÕES E SUGESTÕES PARA CONDUÇÃO DO CONVITE ELETRÔNICO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-Utilizar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compra de bens em parcela única e entrega imediata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Não incluir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muitos itens,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pois o julgamento será realizado de forma individualizada (por item) e poderá resultar em várias empresas vencedoras com valores ínfimos. Portanto, sugerimos evitar a compra de itens cujo valor individual seja irrisório;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Verificar 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item Siafísico (código BEC) contempla todas as especificações necessárias para aquisição do bem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uma vez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existe a possibilidade de especificação complementar.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Atentar ao fato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edital é gerado pelo sistema BEC,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conforme minuta aprovada pela PGE, portanto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é possível incluir detalhamento ou anexos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assim como na dispensa eletrônica;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Incluir 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OUTROS ATOS NORMATIVOS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Resolução 7601/2018 e Portaria GR 4710/10 - www.leginf.usp.br;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É importante saber que: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liberada a OC,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automaticamente será agendado o período de recebimento das propostas.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Atuarão no convite,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Autoridade Competente e os responsáveis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acordo com a Portaria de Designação para modalidade Convite;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Autoridade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poderá designar um ou mais responsáveis para a mesma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7 - Recomendamos a solicitação da proposta comercial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antes de finalizar a análise das propostas para confirmar com o fornecedor se o material está realmente correto, uma vez que após clicar no botão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“Finalizar a análise das propostas”,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não será mais possível promover alterações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(classificação/desclassificação);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Lembramos que o edital deve ser encaminhado às entidades de classe com as informações constantes no modelo de Formulário de solicitação para divulgação de editais: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2785"/>
        <w:gridCol w:w="2318"/>
        <w:gridCol w:w="2127"/>
        <w:gridCol w:w="2126"/>
        <w:tblGridChange w:id="0">
          <w:tblGrid>
            <w:gridCol w:w="2785"/>
            <w:gridCol w:w="2318"/>
            <w:gridCol w:w="2127"/>
            <w:gridCol w:w="212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Formulário de solicitação para divulgação de editais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Órgão Licitante: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Modalidade e número: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do Processo: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Objeto: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da Sessão: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Hora da Sessão: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 da Sessão/sistema: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eletrônico ou local para obtenção da íntegra do edital: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CONTATOS: 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SIMPI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Sindicato de Micro e Pequena Indústria do Estado de São Paulo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licitacoes@simpi.org.br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3145-1370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Fecomercio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Federação do Comércio de Bens, Serviços e Turismo do Estado de São Paulo (antiga Federação do Comércio do Estado de São Paulo)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secretaria@fecomercio.com.br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3254-1700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FIESP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Departamento de Desenvolvimento da Pequena e Micro Empresa da Federação do comércio do Estado de São Paulo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color w:val="0563c1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cassindserviços@fiesp.com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gribeiro@fiesp.com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3549-4267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SEBRAE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Serviço de apoio às Micro e Pequenas Empresas de São Paulo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comissãodelicitacao@sebraesp.com.br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jonasen@sp.sebrae.com.br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3177-4500 – Robson ou Kelly (Licitações)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451504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1E1A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E1A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ribeiro@fiesp.com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mailto:jonasen@sp.sebrae.com.br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@fecomerci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ec.sp.gov.br/becsp/aspx/Downloads_Editais_minuta.aspx?idManual=17" TargetMode="External"/><Relationship Id="rId8" Type="http://schemas.openxmlformats.org/officeDocument/2006/relationships/hyperlink" Target="mailto:licitacoes@simpi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c57LEpUTF4uHHADumDINDOmKA==">AMUW2mVuWILgnCw8oG7TQfxk6DWR2hYgODWSkPu6MAHLy2MvSaIHFMDux8oG9xjfTxZJBm0+n3WX10SM7mcXKkdc644STSTk4WQmeP0JIPg1YWVyc56cLVU=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2022-10-06T21:54:00Z</dcterms:created>
  <dc:creator>Cristina Pinheiro</dc:creator>
</cp:coreProperties>
</file>